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C8F08" w14:textId="77777777" w:rsidR="00D01007" w:rsidRDefault="00D01007">
      <w:pPr>
        <w:rPr>
          <w:rFonts w:ascii="Calibri;sans-serif" w:hAnsi="Calibri;sans-serif" w:hint="eastAsia"/>
          <w:b/>
          <w:color w:val="000000"/>
          <w:sz w:val="28"/>
        </w:rPr>
      </w:pPr>
      <w:bookmarkStart w:id="0" w:name="docs-internal-guid-3dbf4570-7fff-9115-e6"/>
      <w:bookmarkEnd w:id="0"/>
    </w:p>
    <w:p w14:paraId="1219CE6D" w14:textId="2E8DA271" w:rsidR="00D01007" w:rsidRPr="00D01007" w:rsidRDefault="00D01007" w:rsidP="00D01007">
      <w:pPr>
        <w:jc w:val="center"/>
        <w:rPr>
          <w:rFonts w:asciiTheme="minorHAnsi" w:hAnsiTheme="minorHAnsi" w:cstheme="minorHAnsi"/>
          <w:b/>
          <w:color w:val="000000"/>
          <w:sz w:val="28"/>
        </w:rPr>
      </w:pPr>
      <w:r w:rsidRPr="00D01007">
        <w:rPr>
          <w:rFonts w:asciiTheme="minorHAnsi" w:hAnsiTheme="minorHAnsi" w:cstheme="minorHAnsi"/>
          <w:b/>
          <w:color w:val="000000"/>
          <w:sz w:val="28"/>
        </w:rPr>
        <w:t>Protest-, Aktions- und Trauertag</w:t>
      </w:r>
    </w:p>
    <w:p w14:paraId="0FAE8DC5" w14:textId="09A1BACC" w:rsidR="00D01007" w:rsidRDefault="00D01007" w:rsidP="00991EE7">
      <w:pPr>
        <w:spacing w:line="276" w:lineRule="auto"/>
        <w:jc w:val="center"/>
        <w:rPr>
          <w:rFonts w:asciiTheme="minorHAnsi" w:hAnsiTheme="minorHAnsi" w:cstheme="minorHAnsi"/>
          <w:b/>
          <w:color w:val="000000"/>
          <w:sz w:val="28"/>
        </w:rPr>
      </w:pPr>
      <w:r w:rsidRPr="00D01007">
        <w:rPr>
          <w:rFonts w:asciiTheme="minorHAnsi" w:hAnsiTheme="minorHAnsi" w:cstheme="minorHAnsi"/>
          <w:b/>
          <w:color w:val="000000"/>
          <w:sz w:val="28"/>
        </w:rPr>
        <w:t>21.07.202</w:t>
      </w:r>
      <w:r w:rsidR="00991EE7">
        <w:rPr>
          <w:rFonts w:asciiTheme="minorHAnsi" w:hAnsiTheme="minorHAnsi" w:cstheme="minorHAnsi"/>
          <w:b/>
          <w:color w:val="000000"/>
          <w:sz w:val="28"/>
        </w:rPr>
        <w:t>1</w:t>
      </w:r>
      <w:r w:rsidRPr="00D01007">
        <w:rPr>
          <w:rFonts w:asciiTheme="minorHAnsi" w:hAnsiTheme="minorHAnsi" w:cstheme="minorHAnsi"/>
          <w:b/>
          <w:color w:val="000000"/>
          <w:sz w:val="28"/>
        </w:rPr>
        <w:t xml:space="preserve"> „Internationaler Gedenktag für verstorbene Drogengebrauchende"</w:t>
      </w:r>
    </w:p>
    <w:p w14:paraId="1C87E5F9" w14:textId="77777777" w:rsidR="00452FAE" w:rsidRPr="00452FAE" w:rsidRDefault="00452FAE" w:rsidP="00991EE7">
      <w:pPr>
        <w:spacing w:line="276" w:lineRule="auto"/>
        <w:jc w:val="center"/>
        <w:rPr>
          <w:rFonts w:asciiTheme="minorHAnsi" w:hAnsiTheme="minorHAnsi" w:cstheme="minorHAnsi"/>
          <w:b/>
          <w:color w:val="000000"/>
          <w:sz w:val="16"/>
          <w:szCs w:val="16"/>
        </w:rPr>
      </w:pPr>
    </w:p>
    <w:p w14:paraId="79695BE1" w14:textId="46F485F9" w:rsidR="004A2888" w:rsidRPr="00991EE7" w:rsidRDefault="004005EE" w:rsidP="00991EE7">
      <w:pPr>
        <w:spacing w:line="360" w:lineRule="auto"/>
        <w:jc w:val="center"/>
        <w:rPr>
          <w:rFonts w:ascii="Open Sans" w:hAnsi="Open Sans" w:hint="eastAsia"/>
          <w:color w:val="4472C4" w:themeColor="accent1"/>
          <w:sz w:val="28"/>
          <w:szCs w:val="28"/>
        </w:rPr>
      </w:pPr>
      <w:r w:rsidRPr="00991EE7">
        <w:rPr>
          <w:rFonts w:ascii="Open Sans" w:hAnsi="Open Sans"/>
          <w:b/>
          <w:color w:val="4472C4" w:themeColor="accent1"/>
          <w:sz w:val="28"/>
          <w:szCs w:val="28"/>
        </w:rPr>
        <w:t xml:space="preserve">Drogentod vermeiden - </w:t>
      </w:r>
      <w:r w:rsidR="00F35850" w:rsidRPr="00991EE7">
        <w:rPr>
          <w:rFonts w:ascii="Open Sans" w:hAnsi="Open Sans"/>
          <w:b/>
          <w:color w:val="4472C4" w:themeColor="accent1"/>
          <w:sz w:val="28"/>
          <w:szCs w:val="28"/>
        </w:rPr>
        <w:t>Substitutionsbehandlung individualisieren</w:t>
      </w:r>
    </w:p>
    <w:p w14:paraId="59F6C3CB" w14:textId="76E91E59" w:rsidR="004A2888" w:rsidRPr="00D40F5A" w:rsidRDefault="004005EE" w:rsidP="00991EE7">
      <w:pPr>
        <w:pStyle w:val="Textkrper"/>
        <w:spacing w:after="160" w:line="240" w:lineRule="auto"/>
        <w:rPr>
          <w:rFonts w:ascii="Open Sans" w:hAnsi="Open Sans" w:hint="eastAsia"/>
          <w:b/>
          <w:color w:val="000000"/>
          <w:sz w:val="20"/>
          <w:szCs w:val="20"/>
        </w:rPr>
      </w:pPr>
      <w:r w:rsidRPr="00D40F5A">
        <w:rPr>
          <w:rFonts w:ascii="Open Sans" w:hAnsi="Open Sans"/>
          <w:b/>
          <w:color w:val="000000"/>
          <w:sz w:val="20"/>
          <w:szCs w:val="20"/>
        </w:rPr>
        <w:t xml:space="preserve">Anlässlich des internationalen Gedenktags für verstorbene Drogengebraucher*innen am 21 Juli 2021 machen die Initiator*innen auf die Erfordernis </w:t>
      </w:r>
      <w:r w:rsidR="00F35850" w:rsidRPr="00D40F5A">
        <w:rPr>
          <w:rFonts w:ascii="Open Sans" w:hAnsi="Open Sans"/>
          <w:b/>
          <w:color w:val="000000"/>
          <w:sz w:val="20"/>
          <w:szCs w:val="20"/>
        </w:rPr>
        <w:t>der Individualisierung der Substitutionsbehandlung</w:t>
      </w:r>
      <w:r w:rsidR="00C855A0" w:rsidRPr="00D40F5A">
        <w:rPr>
          <w:rFonts w:ascii="Open Sans" w:hAnsi="Open Sans"/>
          <w:b/>
          <w:color w:val="000000"/>
          <w:sz w:val="20"/>
          <w:szCs w:val="20"/>
        </w:rPr>
        <w:t xml:space="preserve"> aufmerksam.</w:t>
      </w:r>
    </w:p>
    <w:p w14:paraId="6AC222BA" w14:textId="09972121" w:rsidR="004A2888" w:rsidRPr="00D40F5A" w:rsidRDefault="004005EE" w:rsidP="00991EE7">
      <w:pPr>
        <w:pStyle w:val="Textkrper"/>
        <w:spacing w:after="160" w:line="240" w:lineRule="auto"/>
        <w:rPr>
          <w:rFonts w:ascii="Open Sans" w:hAnsi="Open Sans"/>
          <w:color w:val="000000"/>
          <w:sz w:val="20"/>
          <w:szCs w:val="20"/>
        </w:rPr>
      </w:pPr>
      <w:r w:rsidRPr="00D40F5A">
        <w:rPr>
          <w:rFonts w:ascii="Open Sans" w:hAnsi="Open Sans"/>
          <w:color w:val="000000"/>
          <w:sz w:val="20"/>
          <w:szCs w:val="20"/>
        </w:rPr>
        <w:t>Die Corona Pandemie hat die menschenunwürdige Situation vieler Drogen gebrauchender Menschen in Deutschland erschreckend verdeutlicht.</w:t>
      </w:r>
      <w:r w:rsidR="00D40F5A" w:rsidRPr="00D40F5A">
        <w:rPr>
          <w:rFonts w:ascii="Open Sans" w:hAnsi="Open Sans"/>
          <w:color w:val="000000"/>
          <w:sz w:val="20"/>
          <w:szCs w:val="20"/>
        </w:rPr>
        <w:t xml:space="preserve"> 1581 Drogen bedingte Todesfälle und ein erschreckender Anstieg von Menschen, die an den Langzeitfolgen sterben, machen dringenden Handlungsbedarf sichtbar. Die Substitutionsbehandlung, ebenso wie Drug Checking und Drogenkonsumräume können dazu beitragen Risiken zu reduzieren.</w:t>
      </w:r>
    </w:p>
    <w:p w14:paraId="34BB2D8F" w14:textId="71A308E1" w:rsidR="004A2888" w:rsidRPr="00D40F5A" w:rsidRDefault="00D40F5A" w:rsidP="00991EE7">
      <w:pPr>
        <w:pStyle w:val="Textkrper"/>
        <w:spacing w:after="160" w:line="240" w:lineRule="auto"/>
        <w:rPr>
          <w:rFonts w:ascii="Open Sans" w:hAnsi="Open Sans"/>
          <w:color w:val="000000"/>
          <w:sz w:val="20"/>
          <w:szCs w:val="20"/>
        </w:rPr>
      </w:pPr>
      <w:r w:rsidRPr="00D40F5A">
        <w:rPr>
          <w:rFonts w:ascii="Open Sans" w:hAnsi="Open Sans"/>
          <w:color w:val="000000"/>
          <w:sz w:val="20"/>
          <w:szCs w:val="20"/>
        </w:rPr>
        <w:t>Etwa</w:t>
      </w:r>
      <w:r w:rsidR="004005EE" w:rsidRPr="00D40F5A">
        <w:rPr>
          <w:rFonts w:ascii="Open Sans" w:hAnsi="Open Sans"/>
          <w:color w:val="000000"/>
          <w:sz w:val="20"/>
          <w:szCs w:val="20"/>
        </w:rPr>
        <w:t xml:space="preserve"> 2/3 der </w:t>
      </w:r>
      <w:r w:rsidRPr="00D40F5A">
        <w:rPr>
          <w:rFonts w:ascii="Open Sans" w:hAnsi="Open Sans"/>
          <w:color w:val="000000"/>
          <w:sz w:val="20"/>
          <w:szCs w:val="20"/>
        </w:rPr>
        <w:t>4</w:t>
      </w:r>
      <w:r w:rsidR="004005EE" w:rsidRPr="00D40F5A">
        <w:rPr>
          <w:rFonts w:ascii="Open Sans" w:hAnsi="Open Sans"/>
          <w:color w:val="000000"/>
          <w:sz w:val="20"/>
          <w:szCs w:val="20"/>
        </w:rPr>
        <w:t>00</w:t>
      </w:r>
      <w:r w:rsidR="00F35850" w:rsidRPr="00D40F5A">
        <w:rPr>
          <w:rFonts w:ascii="Open Sans" w:hAnsi="Open Sans"/>
          <w:color w:val="000000"/>
          <w:sz w:val="20"/>
          <w:szCs w:val="20"/>
        </w:rPr>
        <w:t xml:space="preserve"> in Hamburg</w:t>
      </w:r>
      <w:r w:rsidR="004005EE" w:rsidRPr="00D40F5A">
        <w:rPr>
          <w:rFonts w:ascii="Open Sans" w:hAnsi="Open Sans"/>
          <w:color w:val="000000"/>
          <w:sz w:val="20"/>
          <w:szCs w:val="20"/>
        </w:rPr>
        <w:t xml:space="preserve"> neu in die Substitutionsbehandlung Aufgenommenen</w:t>
      </w:r>
      <w:r w:rsidRPr="00D40F5A">
        <w:rPr>
          <w:rFonts w:ascii="Open Sans" w:hAnsi="Open Sans"/>
          <w:color w:val="000000"/>
          <w:sz w:val="20"/>
          <w:szCs w:val="20"/>
        </w:rPr>
        <w:t xml:space="preserve"> hatten</w:t>
      </w:r>
      <w:r w:rsidR="004005EE" w:rsidRPr="00D40F5A">
        <w:rPr>
          <w:rFonts w:ascii="Open Sans" w:hAnsi="Open Sans"/>
          <w:color w:val="000000"/>
          <w:sz w:val="20"/>
          <w:szCs w:val="20"/>
        </w:rPr>
        <w:t xml:space="preserve"> keinen Krankenversicherungsschutz. Dass dies nicht nur ein Problem von Migrant*innen und Geflüchteten ist, wurde dadurch sichtbar, dass auch mehr als 50% der deutschen Drogengebraucher*innen über keinen Krankenversicherungsschutz verfügen. </w:t>
      </w:r>
    </w:p>
    <w:p w14:paraId="19C1AF8F" w14:textId="05DEA803" w:rsidR="00F35850" w:rsidRPr="00D40F5A" w:rsidRDefault="00F35850" w:rsidP="00991EE7">
      <w:pPr>
        <w:pStyle w:val="Textkrper"/>
        <w:spacing w:after="160" w:line="240" w:lineRule="auto"/>
        <w:rPr>
          <w:rFonts w:ascii="Open Sans" w:hAnsi="Open Sans"/>
          <w:color w:val="000000"/>
          <w:sz w:val="20"/>
          <w:szCs w:val="20"/>
        </w:rPr>
      </w:pPr>
      <w:r w:rsidRPr="00D40F5A">
        <w:rPr>
          <w:rFonts w:ascii="Open Sans" w:hAnsi="Open Sans"/>
          <w:color w:val="000000"/>
          <w:sz w:val="20"/>
          <w:szCs w:val="20"/>
        </w:rPr>
        <w:t>Zu den erforderlichen strukturellen und medizinischen Veränderungen muss auch der niedrig</w:t>
      </w:r>
      <w:r w:rsidR="00991EE7" w:rsidRPr="00D40F5A">
        <w:rPr>
          <w:rFonts w:ascii="Open Sans" w:hAnsi="Open Sans"/>
          <w:color w:val="000000"/>
          <w:sz w:val="20"/>
          <w:szCs w:val="20"/>
        </w:rPr>
        <w:t>-</w:t>
      </w:r>
      <w:proofErr w:type="spellStart"/>
      <w:r w:rsidRPr="00D40F5A">
        <w:rPr>
          <w:rFonts w:ascii="Open Sans" w:hAnsi="Open Sans"/>
          <w:color w:val="000000"/>
          <w:sz w:val="20"/>
          <w:szCs w:val="20"/>
        </w:rPr>
        <w:t>schwellige</w:t>
      </w:r>
      <w:proofErr w:type="spellEnd"/>
      <w:r w:rsidRPr="00D40F5A">
        <w:rPr>
          <w:rFonts w:ascii="Open Sans" w:hAnsi="Open Sans"/>
          <w:color w:val="000000"/>
          <w:sz w:val="20"/>
          <w:szCs w:val="20"/>
        </w:rPr>
        <w:t xml:space="preserve"> Zugang zur Behandlung gehören. Für viele nichtbehandelte Opioidkonsument*innen führen die immer noch strikten Regelungen gepaart mit engen Vergabefenstern zu Versagensängsten, die ausschlagend sind, dass sie sich gegen diese Behandlung entscheiden.</w:t>
      </w:r>
    </w:p>
    <w:p w14:paraId="469DB4DF" w14:textId="49E03755" w:rsidR="00F35850" w:rsidRPr="00D40F5A" w:rsidRDefault="00F35850" w:rsidP="00991EE7">
      <w:pPr>
        <w:pStyle w:val="Textkrper"/>
        <w:spacing w:after="160" w:line="240" w:lineRule="auto"/>
        <w:rPr>
          <w:rFonts w:ascii="Open Sans" w:hAnsi="Open Sans"/>
          <w:color w:val="000000"/>
          <w:sz w:val="20"/>
          <w:szCs w:val="20"/>
        </w:rPr>
      </w:pPr>
      <w:proofErr w:type="spellStart"/>
      <w:r w:rsidRPr="00D40F5A">
        <w:rPr>
          <w:rFonts w:ascii="Open Sans" w:hAnsi="Open Sans"/>
          <w:color w:val="000000"/>
          <w:sz w:val="20"/>
          <w:szCs w:val="20"/>
        </w:rPr>
        <w:t>Das</w:t>
      </w:r>
      <w:proofErr w:type="spellEnd"/>
      <w:r w:rsidRPr="00D40F5A">
        <w:rPr>
          <w:rFonts w:ascii="Open Sans" w:hAnsi="Open Sans"/>
          <w:color w:val="000000"/>
          <w:sz w:val="20"/>
          <w:szCs w:val="20"/>
        </w:rPr>
        <w:t xml:space="preserve"> die diamorphinges</w:t>
      </w:r>
      <w:r w:rsidR="00D01007" w:rsidRPr="00D40F5A">
        <w:rPr>
          <w:rFonts w:ascii="Open Sans" w:hAnsi="Open Sans"/>
          <w:color w:val="000000"/>
          <w:sz w:val="20"/>
          <w:szCs w:val="20"/>
        </w:rPr>
        <w:t>tütz</w:t>
      </w:r>
      <w:r w:rsidR="00D40F5A" w:rsidRPr="00D40F5A">
        <w:rPr>
          <w:rFonts w:ascii="Open Sans" w:hAnsi="Open Sans"/>
          <w:color w:val="000000"/>
          <w:sz w:val="20"/>
          <w:szCs w:val="20"/>
        </w:rPr>
        <w:t>t</w:t>
      </w:r>
      <w:r w:rsidR="00D01007" w:rsidRPr="00D40F5A">
        <w:rPr>
          <w:rFonts w:ascii="Open Sans" w:hAnsi="Open Sans"/>
          <w:color w:val="000000"/>
          <w:sz w:val="20"/>
          <w:szCs w:val="20"/>
        </w:rPr>
        <w:t>e</w:t>
      </w:r>
      <w:r w:rsidRPr="00D40F5A">
        <w:rPr>
          <w:rFonts w:ascii="Open Sans" w:hAnsi="Open Sans"/>
          <w:color w:val="000000"/>
          <w:sz w:val="20"/>
          <w:szCs w:val="20"/>
        </w:rPr>
        <w:t xml:space="preserve"> Behandlung nach mehr als 10 Jahren weiterhin eine Behandlung der zweiten Wahl ist, ist ethisch und medizinisch unverantwortlich. Wir </w:t>
      </w:r>
      <w:r w:rsidR="004005EE" w:rsidRPr="00D40F5A">
        <w:rPr>
          <w:rFonts w:ascii="Open Sans" w:hAnsi="Open Sans"/>
          <w:color w:val="000000"/>
          <w:sz w:val="20"/>
          <w:szCs w:val="20"/>
        </w:rPr>
        <w:t>müssen darauf aufmerksam machen</w:t>
      </w:r>
      <w:r w:rsidRPr="00D40F5A">
        <w:rPr>
          <w:rFonts w:ascii="Open Sans" w:hAnsi="Open Sans"/>
          <w:color w:val="000000"/>
          <w:sz w:val="20"/>
          <w:szCs w:val="20"/>
        </w:rPr>
        <w:t xml:space="preserve">, dass der Zugang an einer wirksamen Behandlungsform </w:t>
      </w:r>
      <w:r w:rsidR="004005EE" w:rsidRPr="00D40F5A">
        <w:rPr>
          <w:rFonts w:ascii="Open Sans" w:hAnsi="Open Sans"/>
          <w:color w:val="000000"/>
          <w:sz w:val="20"/>
          <w:szCs w:val="20"/>
        </w:rPr>
        <w:t xml:space="preserve">nicht </w:t>
      </w:r>
      <w:r w:rsidRPr="00D40F5A">
        <w:rPr>
          <w:rFonts w:ascii="Open Sans" w:hAnsi="Open Sans"/>
          <w:color w:val="000000"/>
          <w:sz w:val="20"/>
          <w:szCs w:val="20"/>
        </w:rPr>
        <w:t>an besondere physische und psychische Krankheitsbilder geknüpft w</w:t>
      </w:r>
      <w:r w:rsidR="004005EE" w:rsidRPr="00D40F5A">
        <w:rPr>
          <w:rFonts w:ascii="Open Sans" w:hAnsi="Open Sans"/>
          <w:color w:val="000000"/>
          <w:sz w:val="20"/>
          <w:szCs w:val="20"/>
        </w:rPr>
        <w:t>erden darf</w:t>
      </w:r>
      <w:r w:rsidRPr="00D40F5A">
        <w:rPr>
          <w:rFonts w:ascii="Open Sans" w:hAnsi="Open Sans"/>
          <w:color w:val="000000"/>
          <w:sz w:val="20"/>
          <w:szCs w:val="20"/>
        </w:rPr>
        <w:t>.</w:t>
      </w:r>
    </w:p>
    <w:p w14:paraId="3860AB28" w14:textId="0E38D0FC" w:rsidR="004A2888" w:rsidRPr="00D40F5A" w:rsidRDefault="004005EE" w:rsidP="00991EE7">
      <w:pPr>
        <w:pStyle w:val="Textkrper"/>
        <w:spacing w:after="160" w:line="240" w:lineRule="auto"/>
        <w:rPr>
          <w:rFonts w:ascii="Open Sans" w:hAnsi="Open Sans"/>
          <w:color w:val="000000"/>
          <w:sz w:val="20"/>
          <w:szCs w:val="20"/>
        </w:rPr>
      </w:pPr>
      <w:r w:rsidRPr="00D40F5A">
        <w:rPr>
          <w:rFonts w:ascii="Open Sans" w:hAnsi="Open Sans"/>
          <w:color w:val="000000"/>
          <w:sz w:val="20"/>
          <w:szCs w:val="20"/>
        </w:rPr>
        <w:t xml:space="preserve">Die Initiatoren des Gedenktages 2021 </w:t>
      </w:r>
      <w:r w:rsidR="00D01007" w:rsidRPr="00D40F5A">
        <w:rPr>
          <w:rFonts w:ascii="Open Sans" w:hAnsi="Open Sans"/>
          <w:color w:val="000000"/>
          <w:sz w:val="20"/>
          <w:szCs w:val="20"/>
        </w:rPr>
        <w:t>freuen sich, wenn</w:t>
      </w:r>
      <w:r w:rsidRPr="00D40F5A">
        <w:rPr>
          <w:rFonts w:ascii="Open Sans" w:hAnsi="Open Sans"/>
          <w:color w:val="000000"/>
          <w:sz w:val="20"/>
          <w:szCs w:val="20"/>
        </w:rPr>
        <w:t xml:space="preserve"> </w:t>
      </w:r>
      <w:r w:rsidR="00D01007" w:rsidRPr="00D40F5A">
        <w:rPr>
          <w:rFonts w:ascii="Open Sans" w:hAnsi="Open Sans"/>
          <w:color w:val="000000"/>
          <w:sz w:val="20"/>
          <w:szCs w:val="20"/>
        </w:rPr>
        <w:t xml:space="preserve">möglichst viele teilnehmende Städte und Einrichtungen das Thema aufgreifen, um </w:t>
      </w:r>
      <w:r w:rsidR="00F35850" w:rsidRPr="00D40F5A">
        <w:rPr>
          <w:rFonts w:ascii="Open Sans" w:hAnsi="Open Sans"/>
          <w:color w:val="000000"/>
          <w:sz w:val="20"/>
          <w:szCs w:val="20"/>
        </w:rPr>
        <w:t xml:space="preserve">eine Individualisierung der Substitutionsbehandlung </w:t>
      </w:r>
      <w:r w:rsidR="00D40F5A" w:rsidRPr="00D40F5A">
        <w:rPr>
          <w:rFonts w:ascii="Open Sans" w:hAnsi="Open Sans"/>
          <w:color w:val="000000"/>
          <w:sz w:val="20"/>
          <w:szCs w:val="20"/>
        </w:rPr>
        <w:t xml:space="preserve">und den Ausbau schadensmindernder Angebote </w:t>
      </w:r>
      <w:r w:rsidR="00F35850" w:rsidRPr="00D40F5A">
        <w:rPr>
          <w:rFonts w:ascii="Open Sans" w:hAnsi="Open Sans"/>
          <w:color w:val="000000"/>
          <w:sz w:val="20"/>
          <w:szCs w:val="20"/>
        </w:rPr>
        <w:t>anzustreben</w:t>
      </w:r>
      <w:r w:rsidR="00452FAE" w:rsidRPr="00D40F5A">
        <w:rPr>
          <w:rFonts w:ascii="Open Sans" w:hAnsi="Open Sans"/>
          <w:color w:val="000000"/>
          <w:sz w:val="20"/>
          <w:szCs w:val="20"/>
        </w:rPr>
        <w:t>.</w:t>
      </w:r>
    </w:p>
    <w:p w14:paraId="6F92FB6A" w14:textId="678ABC75" w:rsidR="004A2888" w:rsidRPr="00D40F5A" w:rsidRDefault="00D01007" w:rsidP="00991EE7">
      <w:pPr>
        <w:pStyle w:val="Textkrper"/>
        <w:spacing w:after="160" w:line="240" w:lineRule="auto"/>
        <w:rPr>
          <w:rFonts w:ascii="Open Sans" w:hAnsi="Open Sans"/>
          <w:b/>
          <w:bCs/>
          <w:color w:val="000000"/>
          <w:sz w:val="20"/>
          <w:szCs w:val="20"/>
        </w:rPr>
      </w:pPr>
      <w:r w:rsidRPr="00D40F5A">
        <w:rPr>
          <w:rFonts w:ascii="Open Sans" w:hAnsi="Open Sans"/>
          <w:b/>
          <w:bCs/>
          <w:color w:val="000000"/>
          <w:sz w:val="20"/>
          <w:szCs w:val="20"/>
        </w:rPr>
        <w:t>Themen könnten sein:</w:t>
      </w:r>
    </w:p>
    <w:p w14:paraId="74C40232" w14:textId="67679D70" w:rsidR="004A2888" w:rsidRPr="00D40F5A" w:rsidRDefault="004005EE" w:rsidP="00D40F5A">
      <w:pPr>
        <w:pStyle w:val="Listenabsatz"/>
        <w:numPr>
          <w:ilvl w:val="0"/>
          <w:numId w:val="3"/>
        </w:numPr>
        <w:rPr>
          <w:rFonts w:ascii="Open Sans" w:hAnsi="Open Sans"/>
          <w:sz w:val="20"/>
          <w:szCs w:val="20"/>
        </w:rPr>
      </w:pPr>
      <w:r w:rsidRPr="00D40F5A">
        <w:rPr>
          <w:rFonts w:ascii="Open Sans" w:hAnsi="Open Sans"/>
          <w:sz w:val="20"/>
          <w:szCs w:val="20"/>
        </w:rPr>
        <w:t>Die Möglichkeit einer niedrigschwelligen Substitutionsbehandlung</w:t>
      </w:r>
      <w:r w:rsidR="00D01007" w:rsidRPr="00D40F5A">
        <w:rPr>
          <w:rFonts w:ascii="Open Sans" w:hAnsi="Open Sans"/>
          <w:sz w:val="20"/>
          <w:szCs w:val="20"/>
        </w:rPr>
        <w:t xml:space="preserve"> </w:t>
      </w:r>
    </w:p>
    <w:p w14:paraId="1E953F90" w14:textId="115053E5" w:rsidR="004A2888" w:rsidRPr="00D40F5A" w:rsidRDefault="004005EE" w:rsidP="00D40F5A">
      <w:pPr>
        <w:pStyle w:val="Listenabsatz"/>
        <w:numPr>
          <w:ilvl w:val="0"/>
          <w:numId w:val="3"/>
        </w:numPr>
        <w:rPr>
          <w:rFonts w:ascii="Open Sans" w:hAnsi="Open Sans"/>
          <w:sz w:val="20"/>
          <w:szCs w:val="20"/>
        </w:rPr>
      </w:pPr>
      <w:r w:rsidRPr="00D40F5A">
        <w:rPr>
          <w:rFonts w:ascii="Open Sans" w:hAnsi="Open Sans"/>
          <w:sz w:val="20"/>
          <w:szCs w:val="20"/>
        </w:rPr>
        <w:t>Die Integration der Substitutionsbehandlung in Drogenhilfeeinrichtungen</w:t>
      </w:r>
      <w:r w:rsidR="00D01007" w:rsidRPr="00D40F5A">
        <w:rPr>
          <w:rFonts w:ascii="Open Sans" w:hAnsi="Open Sans"/>
          <w:sz w:val="20"/>
          <w:szCs w:val="20"/>
        </w:rPr>
        <w:t xml:space="preserve"> </w:t>
      </w:r>
    </w:p>
    <w:p w14:paraId="664AB802" w14:textId="7CAE59F4" w:rsidR="00F35850" w:rsidRPr="00D40F5A" w:rsidRDefault="00F35850" w:rsidP="00D40F5A">
      <w:pPr>
        <w:pStyle w:val="Listenabsatz"/>
        <w:numPr>
          <w:ilvl w:val="0"/>
          <w:numId w:val="3"/>
        </w:numPr>
        <w:rPr>
          <w:rFonts w:ascii="Open Sans" w:hAnsi="Open Sans"/>
          <w:sz w:val="20"/>
          <w:szCs w:val="20"/>
        </w:rPr>
      </w:pPr>
      <w:r w:rsidRPr="00D40F5A">
        <w:rPr>
          <w:rFonts w:ascii="Open Sans" w:hAnsi="Open Sans"/>
          <w:sz w:val="20"/>
          <w:szCs w:val="20"/>
        </w:rPr>
        <w:t xml:space="preserve">Die </w:t>
      </w:r>
      <w:r w:rsidR="004005EE" w:rsidRPr="00D40F5A">
        <w:rPr>
          <w:rFonts w:ascii="Open Sans" w:hAnsi="Open Sans"/>
          <w:sz w:val="20"/>
          <w:szCs w:val="20"/>
        </w:rPr>
        <w:t>verstärkte Einbeziehung der Patient*innen</w:t>
      </w:r>
    </w:p>
    <w:p w14:paraId="5EB4337A" w14:textId="2E24AED8" w:rsidR="004A2888" w:rsidRPr="00D40F5A" w:rsidRDefault="00F35850" w:rsidP="00D40F5A">
      <w:pPr>
        <w:pStyle w:val="Listenabsatz"/>
        <w:numPr>
          <w:ilvl w:val="0"/>
          <w:numId w:val="3"/>
        </w:numPr>
        <w:rPr>
          <w:rFonts w:ascii="Open Sans" w:hAnsi="Open Sans"/>
          <w:sz w:val="20"/>
          <w:szCs w:val="20"/>
        </w:rPr>
      </w:pPr>
      <w:r w:rsidRPr="00D40F5A">
        <w:rPr>
          <w:rFonts w:ascii="Open Sans" w:hAnsi="Open Sans"/>
          <w:sz w:val="20"/>
          <w:szCs w:val="20"/>
        </w:rPr>
        <w:t>Behandlungszugang ohne Krankenversicherungs</w:t>
      </w:r>
      <w:r w:rsidR="00991EE7" w:rsidRPr="00D40F5A">
        <w:rPr>
          <w:rFonts w:ascii="Open Sans" w:hAnsi="Open Sans"/>
          <w:sz w:val="20"/>
          <w:szCs w:val="20"/>
        </w:rPr>
        <w:t>s</w:t>
      </w:r>
      <w:r w:rsidRPr="00D40F5A">
        <w:rPr>
          <w:rFonts w:ascii="Open Sans" w:hAnsi="Open Sans"/>
          <w:sz w:val="20"/>
          <w:szCs w:val="20"/>
        </w:rPr>
        <w:t>chutz</w:t>
      </w:r>
      <w:r w:rsidR="00D01007" w:rsidRPr="00D40F5A">
        <w:rPr>
          <w:rFonts w:ascii="Open Sans" w:hAnsi="Open Sans"/>
          <w:sz w:val="20"/>
          <w:szCs w:val="20"/>
        </w:rPr>
        <w:t xml:space="preserve"> </w:t>
      </w:r>
    </w:p>
    <w:p w14:paraId="298103F9" w14:textId="77777777" w:rsidR="00D40F5A" w:rsidRPr="00D40F5A" w:rsidRDefault="004005EE" w:rsidP="00D40F5A">
      <w:pPr>
        <w:pStyle w:val="Listenabsatz"/>
        <w:numPr>
          <w:ilvl w:val="0"/>
          <w:numId w:val="3"/>
        </w:numPr>
        <w:rPr>
          <w:rFonts w:ascii="Open Sans" w:hAnsi="Open Sans"/>
          <w:sz w:val="20"/>
          <w:szCs w:val="20"/>
        </w:rPr>
      </w:pPr>
      <w:r w:rsidRPr="00D40F5A">
        <w:rPr>
          <w:rFonts w:ascii="Open Sans" w:hAnsi="Open Sans"/>
          <w:sz w:val="20"/>
          <w:szCs w:val="20"/>
        </w:rPr>
        <w:t xml:space="preserve">Die Gleichstellung </w:t>
      </w:r>
      <w:r w:rsidR="00F35850" w:rsidRPr="00D40F5A">
        <w:rPr>
          <w:rFonts w:ascii="Open Sans" w:hAnsi="Open Sans"/>
          <w:sz w:val="20"/>
          <w:szCs w:val="20"/>
        </w:rPr>
        <w:t>der Diamorphinbehandlung</w:t>
      </w:r>
      <w:r w:rsidR="00991EE7" w:rsidRPr="00D40F5A">
        <w:rPr>
          <w:rFonts w:ascii="Open Sans" w:hAnsi="Open Sans"/>
          <w:sz w:val="20"/>
          <w:szCs w:val="20"/>
        </w:rPr>
        <w:t xml:space="preserve"> </w:t>
      </w:r>
    </w:p>
    <w:p w14:paraId="55CCCA43" w14:textId="07F6D761" w:rsidR="00D40F5A" w:rsidRPr="00D40F5A" w:rsidRDefault="00D40F5A" w:rsidP="00D40F5A">
      <w:pPr>
        <w:pStyle w:val="Listenabsatz"/>
        <w:numPr>
          <w:ilvl w:val="0"/>
          <w:numId w:val="3"/>
        </w:numPr>
        <w:rPr>
          <w:rFonts w:ascii="Open Sans" w:hAnsi="Open Sans"/>
          <w:sz w:val="20"/>
          <w:szCs w:val="20"/>
        </w:rPr>
      </w:pPr>
      <w:r w:rsidRPr="00D40F5A">
        <w:rPr>
          <w:rFonts w:ascii="Open Sans" w:hAnsi="Open Sans"/>
          <w:sz w:val="20"/>
          <w:szCs w:val="20"/>
        </w:rPr>
        <w:t xml:space="preserve">Drogenkonsumräume in allen Bundesländern </w:t>
      </w:r>
    </w:p>
    <w:p w14:paraId="4227CA0E" w14:textId="17DACF9F" w:rsidR="004A2888" w:rsidRPr="00D40F5A" w:rsidRDefault="00D40F5A" w:rsidP="00D40F5A">
      <w:pPr>
        <w:pStyle w:val="Listenabsatz"/>
        <w:numPr>
          <w:ilvl w:val="0"/>
          <w:numId w:val="3"/>
        </w:numPr>
        <w:rPr>
          <w:rFonts w:ascii="Open Sans" w:hAnsi="Open Sans"/>
          <w:sz w:val="20"/>
          <w:szCs w:val="20"/>
        </w:rPr>
      </w:pPr>
      <w:r w:rsidRPr="00D40F5A">
        <w:rPr>
          <w:rFonts w:ascii="Open Sans" w:hAnsi="Open Sans"/>
          <w:sz w:val="20"/>
          <w:szCs w:val="20"/>
        </w:rPr>
        <w:t>Drug Checking in Verbindung mit Beratungsangeboten</w:t>
      </w:r>
      <w:r w:rsidR="00991EE7" w:rsidRPr="00D40F5A">
        <w:rPr>
          <w:rFonts w:ascii="Open Sans" w:hAnsi="Open Sans"/>
          <w:sz w:val="20"/>
          <w:szCs w:val="20"/>
        </w:rPr>
        <w:tab/>
      </w:r>
    </w:p>
    <w:p w14:paraId="36413C72" w14:textId="77777777" w:rsidR="000C2FA9" w:rsidRPr="000C2FA9" w:rsidRDefault="000C2FA9" w:rsidP="00452FAE">
      <w:pPr>
        <w:pStyle w:val="Textkrper"/>
        <w:spacing w:after="160" w:line="240" w:lineRule="auto"/>
        <w:rPr>
          <w:rFonts w:ascii="Open Sans" w:hAnsi="Open Sans"/>
          <w:color w:val="000000"/>
          <w:sz w:val="8"/>
          <w:szCs w:val="8"/>
        </w:rPr>
      </w:pPr>
    </w:p>
    <w:p w14:paraId="782F253A" w14:textId="2BDC1C95" w:rsidR="00991EE7" w:rsidRPr="00D40F5A" w:rsidRDefault="004005EE" w:rsidP="00452FAE">
      <w:pPr>
        <w:pStyle w:val="Textkrper"/>
        <w:spacing w:after="160" w:line="240" w:lineRule="auto"/>
        <w:rPr>
          <w:rFonts w:ascii="Open Sans" w:hAnsi="Open Sans"/>
          <w:color w:val="000000"/>
          <w:sz w:val="20"/>
          <w:szCs w:val="20"/>
        </w:rPr>
      </w:pPr>
      <w:r w:rsidRPr="00D40F5A">
        <w:rPr>
          <w:rFonts w:ascii="Open Sans" w:hAnsi="Open Sans"/>
          <w:color w:val="000000"/>
          <w:sz w:val="20"/>
          <w:szCs w:val="20"/>
        </w:rPr>
        <w:t>Wenn es uns gelingt die Zahl der Behandelten deutlich zu erhöhen</w:t>
      </w:r>
      <w:r w:rsidR="000C2FA9">
        <w:rPr>
          <w:rFonts w:ascii="Open Sans" w:hAnsi="Open Sans"/>
          <w:color w:val="000000"/>
          <w:sz w:val="20"/>
          <w:szCs w:val="20"/>
        </w:rPr>
        <w:t xml:space="preserve"> und das Portfolio der Angebote der Schadensminderung zu erweitern, </w:t>
      </w:r>
      <w:r w:rsidRPr="00D40F5A">
        <w:rPr>
          <w:rFonts w:ascii="Open Sans" w:hAnsi="Open Sans"/>
          <w:color w:val="000000"/>
          <w:sz w:val="20"/>
          <w:szCs w:val="20"/>
        </w:rPr>
        <w:t xml:space="preserve">wird dies auch dazu beitragen. </w:t>
      </w:r>
      <w:r w:rsidR="00452FAE" w:rsidRPr="00D40F5A">
        <w:rPr>
          <w:rFonts w:ascii="Open Sans" w:hAnsi="Open Sans"/>
          <w:color w:val="000000"/>
          <w:sz w:val="20"/>
          <w:szCs w:val="20"/>
        </w:rPr>
        <w:t>d</w:t>
      </w:r>
      <w:r w:rsidRPr="00D40F5A">
        <w:rPr>
          <w:rFonts w:ascii="Open Sans" w:hAnsi="Open Sans"/>
          <w:color w:val="000000"/>
          <w:sz w:val="20"/>
          <w:szCs w:val="20"/>
        </w:rPr>
        <w:t xml:space="preserve">as weniger Drogengebraucher*innen versterben. Daher unterstützen </w:t>
      </w:r>
      <w:r w:rsidR="00991EE7" w:rsidRPr="00D40F5A">
        <w:rPr>
          <w:rFonts w:ascii="Open Sans" w:hAnsi="Open Sans"/>
          <w:color w:val="000000"/>
          <w:sz w:val="20"/>
          <w:szCs w:val="20"/>
        </w:rPr>
        <w:t xml:space="preserve">wir </w:t>
      </w:r>
      <w:r w:rsidRPr="00D40F5A">
        <w:rPr>
          <w:rFonts w:ascii="Open Sans" w:hAnsi="Open Sans"/>
          <w:color w:val="000000"/>
          <w:sz w:val="20"/>
          <w:szCs w:val="20"/>
        </w:rPr>
        <w:t xml:space="preserve">am 21 Juli die Initiative </w:t>
      </w:r>
      <w:r w:rsidRPr="00D40F5A">
        <w:rPr>
          <w:rFonts w:ascii="Open Sans" w:hAnsi="Open Sans"/>
          <w:b/>
          <w:bCs/>
          <w:color w:val="000000"/>
          <w:sz w:val="20"/>
          <w:szCs w:val="20"/>
        </w:rPr>
        <w:t>„100000 Substituierte bis 2022“.</w:t>
      </w:r>
    </w:p>
    <w:p w14:paraId="239A013D" w14:textId="6E394FAB" w:rsidR="00991EE7" w:rsidRPr="000C2FA9" w:rsidRDefault="00991EE7" w:rsidP="000C2FA9">
      <w:pPr>
        <w:jc w:val="center"/>
        <w:rPr>
          <w:rFonts w:ascii="Lucida Handwriting" w:hAnsi="Lucida Handwriting"/>
          <w:color w:val="4472C4" w:themeColor="accent1"/>
          <w:sz w:val="18"/>
          <w:szCs w:val="18"/>
        </w:rPr>
      </w:pPr>
      <w:r w:rsidRPr="000C2FA9">
        <w:rPr>
          <w:rFonts w:ascii="Lucida Handwriting" w:hAnsi="Lucida Handwriting"/>
          <w:sz w:val="18"/>
          <w:szCs w:val="18"/>
        </w:rPr>
        <w:t>„</w:t>
      </w:r>
      <w:r w:rsidRPr="000C2FA9">
        <w:rPr>
          <w:rFonts w:ascii="Lucida Handwriting" w:hAnsi="Lucida Handwriting"/>
          <w:color w:val="4472C4" w:themeColor="accent1"/>
          <w:sz w:val="18"/>
          <w:szCs w:val="18"/>
        </w:rPr>
        <w:t xml:space="preserve">Wo Leben ist, da ist Hoffnung - und unser erstes Ziel in der Drogenpolitik sollte </w:t>
      </w:r>
      <w:proofErr w:type="gramStart"/>
      <w:r w:rsidRPr="000C2FA9">
        <w:rPr>
          <w:rFonts w:ascii="Lucida Handwriting" w:hAnsi="Lucida Handwriting"/>
          <w:color w:val="4472C4" w:themeColor="accent1"/>
          <w:sz w:val="18"/>
          <w:szCs w:val="18"/>
        </w:rPr>
        <w:t>darin  bestehen</w:t>
      </w:r>
      <w:proofErr w:type="gramEnd"/>
      <w:r w:rsidRPr="000C2FA9">
        <w:rPr>
          <w:rFonts w:ascii="Lucida Handwriting" w:hAnsi="Lucida Handwriting"/>
          <w:color w:val="4472C4" w:themeColor="accent1"/>
          <w:sz w:val="18"/>
          <w:szCs w:val="18"/>
        </w:rPr>
        <w:t>, diese Hoffnung am Leben zu erhalten, indem wir die Abhängigen am Leben halten!”</w:t>
      </w:r>
      <w:r w:rsidR="000C2FA9" w:rsidRPr="000C2FA9">
        <w:rPr>
          <w:rFonts w:ascii="Lucida Handwriting" w:hAnsi="Lucida Handwriting"/>
          <w:color w:val="4472C4" w:themeColor="accent1"/>
          <w:sz w:val="18"/>
          <w:szCs w:val="18"/>
        </w:rPr>
        <w:t xml:space="preserve"> </w:t>
      </w:r>
      <w:r w:rsidRPr="000C2FA9">
        <w:rPr>
          <w:rFonts w:ascii="Lucida Handwriting" w:hAnsi="Lucida Handwriting"/>
          <w:sz w:val="18"/>
          <w:szCs w:val="18"/>
        </w:rPr>
        <w:t>Heather Brook, Australien</w:t>
      </w:r>
    </w:p>
    <w:p w14:paraId="55CDF7B3" w14:textId="77777777" w:rsidR="00452FAE" w:rsidRPr="00452FAE" w:rsidRDefault="00452FAE" w:rsidP="00D40F5A">
      <w:pPr>
        <w:rPr>
          <w:rFonts w:ascii="Lucida Handwriting" w:hAnsi="Lucida Handwriting"/>
          <w:sz w:val="16"/>
          <w:szCs w:val="16"/>
        </w:rPr>
      </w:pPr>
    </w:p>
    <w:p w14:paraId="2C323911" w14:textId="025FFAA9" w:rsidR="004A2888" w:rsidRPr="00991EE7" w:rsidRDefault="00991EE7" w:rsidP="00991EE7">
      <w:pPr>
        <w:jc w:val="center"/>
        <w:rPr>
          <w:rFonts w:asciiTheme="minorHAnsi" w:hAnsiTheme="minorHAnsi" w:cstheme="minorHAnsi"/>
          <w:b/>
          <w:bCs/>
          <w:sz w:val="18"/>
          <w:szCs w:val="18"/>
        </w:rPr>
      </w:pPr>
      <w:r w:rsidRPr="00991EE7">
        <w:rPr>
          <w:rFonts w:asciiTheme="minorHAnsi" w:hAnsiTheme="minorHAnsi" w:cstheme="minorHAnsi"/>
          <w:b/>
          <w:bCs/>
          <w:sz w:val="18"/>
          <w:szCs w:val="18"/>
        </w:rPr>
        <w:t>Bundesarbeitsgemeinschaft der Eltern und Angehörigen für akzeptierende Drogenarbeit, JES Bundesverband e.V.  - Deutsche Aidshilfe e.V.  -  Deutsche Gesellschaft für Suchtmedizin e.V.</w:t>
      </w:r>
      <w:r w:rsidRPr="00991EE7">
        <w:rPr>
          <w:rFonts w:hint="eastAsia"/>
        </w:rPr>
        <w:t xml:space="preserve"> </w:t>
      </w:r>
      <w:r>
        <w:t xml:space="preserve">                                                                              </w:t>
      </w:r>
      <w:r w:rsidRPr="00991EE7">
        <w:rPr>
          <w:rFonts w:asciiTheme="minorHAnsi" w:hAnsiTheme="minorHAnsi" w:cstheme="minorHAnsi" w:hint="eastAsia"/>
          <w:b/>
          <w:bCs/>
          <w:sz w:val="18"/>
          <w:szCs w:val="18"/>
        </w:rPr>
        <w:t>Verantwortlich: J</w:t>
      </w:r>
      <w:r w:rsidRPr="00991EE7">
        <w:rPr>
          <w:rFonts w:asciiTheme="minorHAnsi" w:hAnsiTheme="minorHAnsi" w:cstheme="minorHAnsi" w:hint="eastAsia"/>
          <w:b/>
          <w:bCs/>
          <w:sz w:val="18"/>
          <w:szCs w:val="18"/>
        </w:rPr>
        <w:t>ü</w:t>
      </w:r>
      <w:proofErr w:type="spellStart"/>
      <w:r w:rsidRPr="00991EE7">
        <w:rPr>
          <w:rFonts w:asciiTheme="minorHAnsi" w:hAnsiTheme="minorHAnsi" w:cstheme="minorHAnsi" w:hint="eastAsia"/>
          <w:b/>
          <w:bCs/>
          <w:sz w:val="18"/>
          <w:szCs w:val="18"/>
        </w:rPr>
        <w:t>rgen</w:t>
      </w:r>
      <w:proofErr w:type="spellEnd"/>
      <w:r w:rsidRPr="00991EE7">
        <w:rPr>
          <w:rFonts w:asciiTheme="minorHAnsi" w:hAnsiTheme="minorHAnsi" w:cstheme="minorHAnsi" w:hint="eastAsia"/>
          <w:b/>
          <w:bCs/>
          <w:sz w:val="18"/>
          <w:szCs w:val="18"/>
        </w:rPr>
        <w:t xml:space="preserve"> Heimchen, Ravensberger Str. 44, 42117 Wuppertal, Tel. 0202-423519     </w:t>
      </w:r>
      <w:r w:rsidR="004005EE">
        <w:br/>
        <w:t xml:space="preserve"> </w:t>
      </w:r>
    </w:p>
    <w:sectPr w:rsidR="004A2888" w:rsidRPr="00991EE7">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227D" w14:textId="77777777" w:rsidR="00EA3403" w:rsidRDefault="00EA3403" w:rsidP="00D01007">
      <w:pPr>
        <w:rPr>
          <w:rFonts w:hint="eastAsia"/>
        </w:rPr>
      </w:pPr>
      <w:r>
        <w:separator/>
      </w:r>
    </w:p>
  </w:endnote>
  <w:endnote w:type="continuationSeparator" w:id="0">
    <w:p w14:paraId="4072C4E7" w14:textId="77777777" w:rsidR="00EA3403" w:rsidRDefault="00EA3403" w:rsidP="00D010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CE22" w14:textId="77777777" w:rsidR="00EA3403" w:rsidRDefault="00EA3403" w:rsidP="00D01007">
      <w:pPr>
        <w:rPr>
          <w:rFonts w:hint="eastAsia"/>
        </w:rPr>
      </w:pPr>
      <w:r>
        <w:separator/>
      </w:r>
    </w:p>
  </w:footnote>
  <w:footnote w:type="continuationSeparator" w:id="0">
    <w:p w14:paraId="5FB0808C" w14:textId="77777777" w:rsidR="00EA3403" w:rsidRDefault="00EA3403" w:rsidP="00D0100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7746" w14:textId="7310CB01" w:rsidR="00D01007" w:rsidRDefault="00D01007">
    <w:pPr>
      <w:pStyle w:val="Kopfzeile"/>
      <w:rPr>
        <w:rFonts w:hint="eastAsia"/>
      </w:rPr>
    </w:pPr>
  </w:p>
  <w:p w14:paraId="5477EF85" w14:textId="7358FCEF" w:rsidR="00D01007" w:rsidRDefault="00D01007">
    <w:pPr>
      <w:pStyle w:val="Kopfzeile"/>
      <w:rPr>
        <w:rFonts w:hint="eastAsia"/>
      </w:rPr>
    </w:pPr>
    <w:r w:rsidRPr="00D01007">
      <w:rPr>
        <w:noProof/>
      </w:rPr>
      <w:drawing>
        <wp:inline distT="0" distB="0" distL="0" distR="0" wp14:anchorId="37EC596E" wp14:editId="69DA17DA">
          <wp:extent cx="6120130" cy="6908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1C4B"/>
    <w:multiLevelType w:val="hybridMultilevel"/>
    <w:tmpl w:val="41A25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E2CE7"/>
    <w:multiLevelType w:val="multilevel"/>
    <w:tmpl w:val="BB14A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3C4306"/>
    <w:multiLevelType w:val="multilevel"/>
    <w:tmpl w:val="D95E6A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88"/>
    <w:rsid w:val="000654A7"/>
    <w:rsid w:val="000C2FA9"/>
    <w:rsid w:val="004005EE"/>
    <w:rsid w:val="00452FAE"/>
    <w:rsid w:val="004A2888"/>
    <w:rsid w:val="00991EE7"/>
    <w:rsid w:val="00C855A0"/>
    <w:rsid w:val="00D01007"/>
    <w:rsid w:val="00D40F5A"/>
    <w:rsid w:val="00EA3403"/>
    <w:rsid w:val="00F35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3B2A"/>
  <w15:docId w15:val="{B1C180C2-AA12-462F-923F-B7439F88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link w:val="KopfzeileZchn"/>
    <w:uiPriority w:val="99"/>
    <w:unhideWhenUsed/>
    <w:rsid w:val="00D01007"/>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D01007"/>
    <w:rPr>
      <w:rFonts w:cs="Mangal"/>
      <w:szCs w:val="21"/>
    </w:rPr>
  </w:style>
  <w:style w:type="paragraph" w:styleId="Fuzeile">
    <w:name w:val="footer"/>
    <w:basedOn w:val="Standard"/>
    <w:link w:val="FuzeileZchn"/>
    <w:uiPriority w:val="99"/>
    <w:unhideWhenUsed/>
    <w:rsid w:val="00D01007"/>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D01007"/>
    <w:rPr>
      <w:rFonts w:cs="Mangal"/>
      <w:szCs w:val="21"/>
    </w:rPr>
  </w:style>
  <w:style w:type="paragraph" w:styleId="Listenabsatz">
    <w:name w:val="List Paragraph"/>
    <w:basedOn w:val="Standard"/>
    <w:uiPriority w:val="34"/>
    <w:qFormat/>
    <w:rsid w:val="00D40F5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Schieren</dc:creator>
  <dc:description/>
  <cp:lastModifiedBy>dirk schäffer</cp:lastModifiedBy>
  <cp:revision>3</cp:revision>
  <dcterms:created xsi:type="dcterms:W3CDTF">2021-03-11T23:00:00Z</dcterms:created>
  <dcterms:modified xsi:type="dcterms:W3CDTF">2021-04-01T14:20:00Z</dcterms:modified>
  <dc:language>de-DE</dc:language>
</cp:coreProperties>
</file>